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214" w:type="dxa"/>
        <w:tblInd w:w="-12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362"/>
        <w:gridCol w:w="1426"/>
        <w:gridCol w:w="293"/>
      </w:tblGrid>
      <w:tr w:rsidR="00824657">
        <w:trPr>
          <w:trHeight w:val="29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4657" w:rsidRDefault="00032EEE">
            <w:pPr>
              <w:spacing w:after="0" w:line="259" w:lineRule="auto"/>
              <w:ind w:left="139"/>
              <w:jc w:val="center"/>
            </w:pPr>
            <w:r>
              <w:t>Prot.n.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4657" w:rsidRDefault="00824657">
            <w:pPr>
              <w:spacing w:after="160" w:line="259" w:lineRule="auto"/>
              <w:ind w:left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57" w:rsidRDefault="00824657">
            <w:pPr>
              <w:spacing w:after="160" w:line="259" w:lineRule="auto"/>
              <w:ind w:left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57" w:rsidRDefault="00824657">
            <w:pPr>
              <w:spacing w:after="160" w:line="259" w:lineRule="auto"/>
              <w:ind w:left="0"/>
              <w:jc w:val="left"/>
            </w:pPr>
          </w:p>
        </w:tc>
      </w:tr>
    </w:tbl>
    <w:p w:rsidR="00824657" w:rsidRDefault="00032EEE">
      <w:pPr>
        <w:spacing w:after="128" w:line="259" w:lineRule="auto"/>
        <w:ind w:left="4272"/>
        <w:jc w:val="left"/>
      </w:pPr>
      <w:r>
        <w:rPr>
          <w:noProof/>
        </w:rPr>
        <w:drawing>
          <wp:inline distT="0" distB="0" distL="0" distR="0">
            <wp:extent cx="801679" cy="923634"/>
            <wp:effectExtent l="0" t="0" r="0" b="0"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679" cy="9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57" w:rsidRDefault="00032EEE">
      <w:pPr>
        <w:spacing w:after="0" w:line="259" w:lineRule="auto"/>
        <w:ind w:left="134"/>
        <w:jc w:val="center"/>
      </w:pPr>
      <w:r>
        <w:rPr>
          <w:sz w:val="44"/>
        </w:rPr>
        <w:t>Procura della Repubblica</w:t>
      </w:r>
    </w:p>
    <w:p w:rsidR="00824657" w:rsidRDefault="00032EEE">
      <w:pPr>
        <w:spacing w:after="0" w:line="259" w:lineRule="auto"/>
        <w:ind w:left="115"/>
        <w:jc w:val="center"/>
      </w:pPr>
      <w:r>
        <w:rPr>
          <w:sz w:val="36"/>
        </w:rPr>
        <w:t>presso il Tribunale</w:t>
      </w:r>
    </w:p>
    <w:p w:rsidR="00824657" w:rsidRDefault="00032EEE">
      <w:pPr>
        <w:spacing w:after="0" w:line="259" w:lineRule="auto"/>
        <w:ind w:left="115"/>
        <w:jc w:val="center"/>
      </w:pPr>
      <w:r>
        <w:rPr>
          <w:sz w:val="32"/>
        </w:rPr>
        <w:t>TRANI</w:t>
      </w:r>
    </w:p>
    <w:p w:rsidR="00824657" w:rsidRDefault="00032EEE">
      <w:pPr>
        <w:spacing w:after="262" w:line="259" w:lineRule="auto"/>
        <w:ind w:left="34"/>
        <w:jc w:val="center"/>
      </w:pPr>
      <w:r>
        <w:rPr>
          <w:sz w:val="16"/>
        </w:rPr>
        <w:t>IL PROCURATORE DELLA REPUBBLICA</w:t>
      </w:r>
    </w:p>
    <w:p w:rsidR="00824657" w:rsidRDefault="00032EEE">
      <w:pPr>
        <w:spacing w:after="80" w:line="237" w:lineRule="auto"/>
        <w:ind w:left="62" w:right="28" w:hanging="5"/>
      </w:pPr>
      <w:r>
        <w:t>Gent.mo Direttore, come Procuratore della Repubblica ho ritenuto doveroso in questi mesi segnalare alle diverse Istituzioni nazionali e locali la straordinarietà della situazione criminale del territorio.</w:t>
      </w:r>
    </w:p>
    <w:p w:rsidR="00824657" w:rsidRDefault="00032EEE">
      <w:pPr>
        <w:spacing w:after="77" w:line="237" w:lineRule="auto"/>
        <w:ind w:left="62" w:right="28" w:hanging="5"/>
      </w:pPr>
      <w:r>
        <w:t>Ritengo che sia opportuno condividere, limitatament</w:t>
      </w:r>
      <w:r>
        <w:t>e alle informazioni non riservate, queste valutazioni anche con i mezzi di informazione e, in definiüva, con la comunità del territorio e l'opinione pubblica.</w:t>
      </w:r>
    </w:p>
    <w:p w:rsidR="00824657" w:rsidRDefault="00032EEE">
      <w:pPr>
        <w:spacing w:after="48" w:line="237" w:lineRule="auto"/>
        <w:ind w:left="62" w:right="28" w:hanging="5"/>
      </w:pPr>
      <w:r>
        <w:t>E' indispensabile, vorrei dire urgente, che una riflessione comune sia avviata in un momento stor</w:t>
      </w:r>
      <w:r>
        <w:t>ico così importante per questa Provincia e questo Circondario.</w:t>
      </w:r>
    </w:p>
    <w:p w:rsidR="00824657" w:rsidRDefault="00032EEE">
      <w:pPr>
        <w:spacing w:after="48" w:line="237" w:lineRule="auto"/>
        <w:ind w:left="62" w:right="28" w:hanging="5"/>
      </w:pPr>
      <w:r>
        <w:t>La Provincia B.A.T. è in assoluto la prima tra centosette province italiane per furti di auto, e cioè nella classifica</w:t>
      </w:r>
      <w:r>
        <w:rPr>
          <w:vertAlign w:val="superscript"/>
        </w:rPr>
        <w:t xml:space="preserve">i </w:t>
      </w:r>
      <w:r>
        <w:t>che mette in correlazione le denunzie per furti di auto al numero di abit</w:t>
      </w:r>
      <w:r>
        <w:t>anti:</w:t>
      </w:r>
    </w:p>
    <w:p w:rsidR="00824657" w:rsidRDefault="00032EEE">
      <w:pPr>
        <w:numPr>
          <w:ilvl w:val="0"/>
          <w:numId w:val="1"/>
        </w:numPr>
        <w:spacing w:after="48" w:line="237" w:lineRule="auto"/>
        <w:ind w:right="28" w:hanging="298"/>
      </w:pPr>
      <w:r>
        <w:t>ben superiore, quindi, persino alle province di Catania, Foggia, Bari e Napoli (che sono collocate nei successivi 4 posti);</w:t>
      </w:r>
    </w:p>
    <w:p w:rsidR="00824657" w:rsidRDefault="00032EEE">
      <w:pPr>
        <w:numPr>
          <w:ilvl w:val="0"/>
          <w:numId w:val="1"/>
        </w:numPr>
        <w:spacing w:after="48" w:line="237" w:lineRule="auto"/>
        <w:ind w:right="28" w:hanging="29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216423</wp:posOffset>
            </wp:positionH>
            <wp:positionV relativeFrom="page">
              <wp:posOffset>6130123</wp:posOffset>
            </wp:positionV>
            <wp:extent cx="9145" cy="12193"/>
            <wp:effectExtent l="0" t="0" r="0" b="0"/>
            <wp:wrapSquare wrapText="bothSides"/>
            <wp:docPr id="2368" name="Picture 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distanziando di molto la capitale, Roma: 100.000 abitanti della BAT denunciano il doppio dei furti di auto di 100.000 abitant</w:t>
      </w:r>
      <w:r>
        <w:t>i di Roma. La Provincia B.A.T. è tra le prime dieci su centosette province per quanto riguarda le rapine in abitazione: si tratta forse del reato predatorio che più di ogni altro alimenta nel cittadino la percezione della insicurezza e della vulnerabilità.</w:t>
      </w:r>
      <w:r>
        <w:t xml:space="preserve"> La BAT detiene questo triste primato nella Regione Puglia.</w:t>
      </w:r>
    </w:p>
    <w:p w:rsidR="00824657" w:rsidRDefault="00032EEE">
      <w:pPr>
        <w:spacing w:after="26" w:line="259" w:lineRule="auto"/>
        <w:ind w:left="72"/>
        <w:jc w:val="left"/>
      </w:pPr>
      <w:r>
        <w:rPr>
          <w:sz w:val="26"/>
        </w:rPr>
        <w:t>È sempre tra le prime dieci su centosette per quanto riguarda le estorsioni.</w:t>
      </w:r>
    </w:p>
    <w:p w:rsidR="00824657" w:rsidRDefault="00032EEE">
      <w:pPr>
        <w:spacing w:after="48" w:line="237" w:lineRule="auto"/>
        <w:ind w:left="62" w:right="28" w:hanging="5"/>
      </w:pPr>
      <w:r>
        <w:t>Per gli omicidi volontari consumati è al terzo posto su centosette, mentre per i tentati omicidi sembra attestarsi al q</w:t>
      </w:r>
      <w:r>
        <w:t>uarto posto.</w:t>
      </w:r>
    </w:p>
    <w:p w:rsidR="00824657" w:rsidRDefault="00032EEE">
      <w:pPr>
        <w:spacing w:after="48" w:line="237" w:lineRule="auto"/>
        <w:ind w:left="62" w:right="28" w:hanging="5"/>
      </w:pPr>
      <w:r>
        <w:t>La BAT si colloca comunque sempre nella prima parte della triste graduatoria anche per le altre forme di furti, il riciclaggio e il reimpiego di danaro, gli incendi e lo spaccio di stupefacenti. Le statisüche, peraltro, non entrano in quel det</w:t>
      </w:r>
      <w:r>
        <w:t>taglio che pure tutti conoscono:</w:t>
      </w:r>
    </w:p>
    <w:p w:rsidR="00824657" w:rsidRDefault="00032EEE">
      <w:pPr>
        <w:spacing w:after="374" w:line="237" w:lineRule="auto"/>
        <w:ind w:left="62" w:right="28" w:hanging="5"/>
      </w:pPr>
      <w:r>
        <w:t>è in questo territorio un singolare triangolo maledetto in cui portavalori, tir, camion sono inghiottiti dalla azione militare e repentina di autentici commando.</w:t>
      </w:r>
    </w:p>
    <w:p w:rsidR="00824657" w:rsidRDefault="00032EEE">
      <w:pPr>
        <w:spacing w:after="192" w:line="237" w:lineRule="auto"/>
        <w:ind w:left="62" w:right="28" w:hanging="5"/>
      </w:pPr>
      <w:r>
        <w:t>Ci si pofrebbe soffermare sulla specialità dei furti agli ATM, agli sportelli bancomat, e su altri reati, come l'incendio dei veicoli parcheggiati sulla pubblica via.</w:t>
      </w:r>
    </w:p>
    <w:p w:rsidR="00824657" w:rsidRDefault="00032EEE">
      <w:pPr>
        <w:spacing w:after="141" w:line="259" w:lineRule="auto"/>
        <w:ind w:left="5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5022" cy="12193"/>
                <wp:effectExtent l="0" t="0" r="0" b="0"/>
                <wp:docPr id="26468" name="Group 26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22" cy="12193"/>
                          <a:chOff x="0" y="0"/>
                          <a:chExt cx="1835022" cy="12193"/>
                        </a:xfrm>
                      </wpg:grpSpPr>
                      <wps:wsp>
                        <wps:cNvPr id="26467" name="Shape 26467"/>
                        <wps:cNvSpPr/>
                        <wps:spPr>
                          <a:xfrm>
                            <a:off x="0" y="0"/>
                            <a:ext cx="183502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022" h="12193">
                                <a:moveTo>
                                  <a:pt x="0" y="6097"/>
                                </a:moveTo>
                                <a:lnTo>
                                  <a:pt x="183502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68" style="width:144.49pt;height:0.960083pt;mso-position-horizontal-relative:char;mso-position-vertical-relative:line" coordsize="18350,121">
                <v:shape id="Shape 26467" style="position:absolute;width:18350;height:121;left:0;top:0;" coordsize="1835022,12193" path="m0,6097l1835022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24657" w:rsidRDefault="00032EEE">
      <w:pPr>
        <w:spacing w:after="0" w:line="261" w:lineRule="auto"/>
        <w:ind w:left="53" w:firstLine="5"/>
        <w:jc w:val="left"/>
      </w:pPr>
      <w:r>
        <w:rPr>
          <w:sz w:val="22"/>
          <w:vertAlign w:val="superscript"/>
        </w:rPr>
        <w:t xml:space="preserve">1 </w:t>
      </w:r>
      <w:r>
        <w:rPr>
          <w:sz w:val="22"/>
        </w:rPr>
        <w:t>Dal cosiddetto indice di criminalità, a cura de Il sole 24 ore, avendo riguardo ai da</w:t>
      </w:r>
      <w:r>
        <w:rPr>
          <w:sz w:val="22"/>
        </w:rPr>
        <w:t>ti relativi al 2019, pubblicati nell'ottobre del 2020.</w:t>
      </w:r>
    </w:p>
    <w:p w:rsidR="00824657" w:rsidRDefault="00032EEE">
      <w:pPr>
        <w:spacing w:after="83"/>
        <w:ind w:right="9"/>
      </w:pPr>
      <w:r>
        <w:t>Quest'ultimo è un fenomeno così incredibilmente diffuso da apparire piuttosto un metodo di risoluzione delle controversie tra privati.</w:t>
      </w:r>
    </w:p>
    <w:p w:rsidR="00824657" w:rsidRDefault="00032EEE">
      <w:pPr>
        <w:spacing w:after="432"/>
        <w:ind w:left="106" w:right="9"/>
      </w:pPr>
      <w:r>
        <w:lastRenderedPageBreak/>
        <w:t xml:space="preserve">Sono tutti fenomeni che contribuiscono a rendere insostenibile 1a </w:t>
      </w:r>
      <w:r>
        <w:t>percezione di insicurezza dei cittadini della BAT.</w:t>
      </w:r>
    </w:p>
    <w:p w:rsidR="00824657" w:rsidRDefault="00032EEE">
      <w:pPr>
        <w:spacing w:after="101"/>
        <w:ind w:left="101" w:right="9"/>
      </w:pPr>
      <w:r>
        <w:t>La situazione che stanno vivendo le aree rurali dell'Alta Murgia e l'allarme che si è levato dalle associazioni di coltivatori attraverso la voce del Presidente del Parco Nazionale Alta Murgia sembrano rie</w:t>
      </w:r>
      <w:r>
        <w:t>vocare scene che pensavamo appartenere a tempi e luoghi lontani:</w:t>
      </w:r>
    </w:p>
    <w:p w:rsidR="00824657" w:rsidRDefault="00032EEE">
      <w:pPr>
        <w:spacing w:after="391"/>
        <w:ind w:left="456" w:right="9"/>
      </w:pPr>
      <w:r>
        <w:rPr>
          <w:noProof/>
        </w:rPr>
        <w:drawing>
          <wp:inline distT="0" distB="0" distL="0" distR="0">
            <wp:extent cx="57916" cy="51821"/>
            <wp:effectExtent l="0" t="0" r="0" b="0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l'abigeato viene attuato mediante veri e propri raid aziendali con più mezzi e molte persone a bordo, armi e strumenti da scasso, chiodi a tre punte per fermare gli improbabili inseguitori;</w:t>
      </w:r>
      <w:r>
        <w:t xml:space="preserve"> </w:t>
      </w:r>
      <w:r>
        <w:rPr>
          <w:noProof/>
        </w:rPr>
        <w:drawing>
          <wp:inline distT="0" distB="0" distL="0" distR="0">
            <wp:extent cx="54868" cy="54869"/>
            <wp:effectExtent l="0" t="0" r="0" b="0"/>
            <wp:docPr id="5333" name="Picture 5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" name="Picture 53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furti e rapine di mezzi agricoli, anche durante le ore di lavoro con sequestro e lesioni a carico degli operai e degli agricoltori; </w:t>
      </w:r>
      <w:r>
        <w:rPr>
          <w:noProof/>
        </w:rPr>
        <w:drawing>
          <wp:inline distT="0" distB="0" distL="0" distR="0">
            <wp:extent cx="54868" cy="54869"/>
            <wp:effectExtent l="0" t="0" r="0" b="0"/>
            <wp:docPr id="5334" name="Picture 5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" name="Picture 53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furti di mezzi tecnici impianti irrigui, sostegni della coltura; </w:t>
      </w:r>
      <w:r>
        <w:rPr>
          <w:noProof/>
        </w:rPr>
        <w:drawing>
          <wp:inline distT="0" distB="0" distL="0" distR="0">
            <wp:extent cx="54868" cy="54870"/>
            <wp:effectExtent l="0" t="0" r="0" b="0"/>
            <wp:docPr id="5335" name="Picture 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" name="Picture 53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richieste estorsive di denaro collegate a danneggiamento e tagli di colture anche con l'uso di motoseghe e con il concorso di numerose persone, incendi appiccati nelle aree, protette e non</w:t>
      </w:r>
      <w:r>
        <w:t>, miranti a creare stato di paura e soggezione nelle popolazioni rurali che ancora rendono, alla Murgia, una presenza umana e sostengono l'attività della pastorizia classica.</w:t>
      </w:r>
    </w:p>
    <w:p w:rsidR="00824657" w:rsidRDefault="00032EEE">
      <w:pPr>
        <w:ind w:left="38" w:right="9"/>
      </w:pPr>
      <w:r>
        <w:t>Tutti i paramefri esaltano univocamente la diffusione del crimine predatorio e co</w:t>
      </w:r>
      <w:r>
        <w:t>nvergono nel tratteggiare i contorni di una Provincia depredata.</w:t>
      </w:r>
    </w:p>
    <w:p w:rsidR="00824657" w:rsidRDefault="00032EEE">
      <w:pPr>
        <w:ind w:left="38" w:right="9"/>
      </w:pPr>
      <w:r>
        <w:t>A conferma, le statistiche che si concentrano non sui reati ma, in positivo, sulla qualità della vita, relegano la BAT in modo simmetrico e inappellabile fra le ultime dieci d'Italia.</w:t>
      </w:r>
      <w:r>
        <w:rPr>
          <w:vertAlign w:val="superscript"/>
        </w:rPr>
        <w:footnoteReference w:id="1"/>
      </w:r>
    </w:p>
    <w:p w:rsidR="00824657" w:rsidRDefault="00032EEE">
      <w:pPr>
        <w:spacing w:after="357"/>
        <w:ind w:left="38" w:right="9"/>
      </w:pPr>
      <w:r>
        <w:t>Chi v</w:t>
      </w:r>
      <w:r>
        <w:t>olesse minimizzare e incasellare un fenomeno così vasto nella categoria delle iniziative individuali dovrebbe spiegare come può un'azione predatoria così ampia e sistematica non avere un contesto strutturato, a monte, ed una fortissima organizzazione, a va</w:t>
      </w:r>
      <w:r>
        <w:t>lle.</w:t>
      </w:r>
    </w:p>
    <w:p w:rsidR="00824657" w:rsidRDefault="00032EEE">
      <w:pPr>
        <w:spacing w:after="69"/>
        <w:ind w:left="38" w:right="9"/>
      </w:pPr>
      <w:r>
        <w:t>Peraltro, altre analisi evidenziano che questo territorio ha un indice di infiltrazione criminale superiore a quasi tutte le province siciliane: è sempre tra le prime dieci province in Italia. A dirlo è un rapporto nato dalla azione sinergica della Di</w:t>
      </w:r>
      <w:r>
        <w:t xml:space="preserve">rezione Nazionale Antimafia e Antiterrorismo e l'Eurispes </w:t>
      </w:r>
      <w:r>
        <w:rPr>
          <w:vertAlign w:val="superscript"/>
        </w:rPr>
        <w:footnoteReference w:id="2"/>
      </w:r>
      <w:r>
        <w:rPr>
          <w:noProof/>
        </w:rPr>
        <w:drawing>
          <wp:inline distT="0" distB="0" distL="0" distR="0">
            <wp:extent cx="21337" cy="21338"/>
            <wp:effectExtent l="0" t="0" r="0" b="0"/>
            <wp:docPr id="5349" name="Picture 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" name="Picture 53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57" w:rsidRDefault="00032EEE">
      <w:pPr>
        <w:spacing w:after="379"/>
        <w:ind w:left="38" w:right="9"/>
      </w:pPr>
      <w:r>
        <w:t>Una Provincia Depredata, quindi, e fortemente esposta alla infiltrazione criminale.</w:t>
      </w:r>
    </w:p>
    <w:p w:rsidR="00824657" w:rsidRDefault="00032EEE">
      <w:pPr>
        <w:spacing w:after="0" w:line="250" w:lineRule="auto"/>
        <w:ind w:left="101" w:hanging="5"/>
        <w:jc w:val="left"/>
      </w:pPr>
      <w:r>
        <w:rPr>
          <w:sz w:val="26"/>
          <w:u w:val="single" w:color="000000"/>
        </w:rPr>
        <w:t>Eppure questo territorio nell'agenda nazionale delle emergenze criminali semplicemente non esiste.</w:t>
      </w:r>
    </w:p>
    <w:p w:rsidR="00824657" w:rsidRDefault="00032EEE">
      <w:pPr>
        <w:spacing w:after="54"/>
        <w:ind w:left="38" w:right="9"/>
      </w:pPr>
      <w:r>
        <w:t>Una spiegazione di questa sottovalutazione si può cercare nella difficoltà della lettura del fenomeno criminale che non si presta a facili schemi: non si fra</w:t>
      </w:r>
      <w:r>
        <w:t>tta di un territorio povero né dominato da una singola articolata associazione mafiosa.</w:t>
      </w:r>
    </w:p>
    <w:p w:rsidR="00824657" w:rsidRDefault="00032EEE">
      <w:pPr>
        <w:spacing w:after="72"/>
        <w:ind w:left="38" w:right="9"/>
      </w:pPr>
      <w:r>
        <w:t>In questo territorio agiscono Mafie diverse, attratte peraltro da un tessuto economico potenzialmente vivace.</w:t>
      </w:r>
    </w:p>
    <w:p w:rsidR="00824657" w:rsidRDefault="00032EEE">
      <w:pPr>
        <w:ind w:left="38" w:right="9"/>
      </w:pPr>
      <w:r>
        <w:t>La presenza di più autonome associazioni mafiose autoctone</w:t>
      </w:r>
      <w:r>
        <w:t xml:space="preserve"> operative nel territorio di Trani, di Barletta e di Andria negli ultimi treneanni è attestata da plurime sentenze definitive di condanna per associazione di stampo mafioso, sentenze che sono anche il risultato dell'impegno investigativo della D.D.A. di Ba</w:t>
      </w:r>
      <w:r>
        <w:t>ri nel corso degli anni.</w:t>
      </w:r>
    </w:p>
    <w:p w:rsidR="00824657" w:rsidRDefault="00032EEE">
      <w:pPr>
        <w:spacing w:after="80"/>
        <w:ind w:left="38" w:right="9"/>
      </w:pPr>
      <w:r>
        <w:lastRenderedPageBreak/>
        <w:t>Inoltre il carattere mafioso di innumerevoli omicidi, fatti estorsivi, reaü di armi, reati contro la persona o il pafrimonio, traffico di stupefacenti è stato già statuito molteplici volte da sentenze definitive.</w:t>
      </w:r>
    </w:p>
    <w:p w:rsidR="00824657" w:rsidRDefault="00032EEE">
      <w:pPr>
        <w:spacing w:after="48"/>
        <w:ind w:left="38" w:right="9"/>
      </w:pPr>
      <w:r>
        <w:t>Altre sentenze att</w:t>
      </w:r>
      <w:r>
        <w:t>estano che le mafie baresi allungano i propri tentacoli sul territorio di Molfetta, Trani, Terlizzi ed altri comuni.</w:t>
      </w:r>
    </w:p>
    <w:p w:rsidR="00824657" w:rsidRDefault="00032EEE">
      <w:pPr>
        <w:spacing w:after="66"/>
        <w:ind w:left="38" w:right="9"/>
      </w:pPr>
      <w:r>
        <w:t>I rapporti con la criminalità foggiana, sanseverese e cerignolana risultano parimenti da indagini e sentenze.</w:t>
      </w:r>
    </w:p>
    <w:p w:rsidR="00824657" w:rsidRDefault="00032EEE">
      <w:pPr>
        <w:ind w:left="38" w:right="9"/>
      </w:pPr>
      <w:r>
        <w:t>Basterebbero queste circostan</w:t>
      </w:r>
      <w:r>
        <w:t>ze per elevare il grido di allarme che già da tempo ha interessato il capoluogo di regione, ove la criminalità è confrastata costantemente dalla azione incessante della Squadra Mobile, del Nucleo Investigativo e del ROS dei Carabinieri così come del GICO d</w:t>
      </w:r>
      <w:r>
        <w:t>i Bari.</w:t>
      </w:r>
    </w:p>
    <w:p w:rsidR="00824657" w:rsidRDefault="00032EEE">
      <w:pPr>
        <w:ind w:left="38" w:right="9"/>
      </w:pPr>
      <w:r>
        <w:t>Un'analoga azione per forza di cose non ha mai potuto esprimersi con la medesima estensione e intensità nel territorio della BAT, che, pur essendo provincia, non può contare su analoghi propri servizi di polizia giudiziaria, ma deve avvalersi della</w:t>
      </w:r>
      <w:r>
        <w:t xml:space="preserve"> meritoria disponibilità di quelli del capoluogo già straordinariamente impegnati.</w:t>
      </w:r>
    </w:p>
    <w:p w:rsidR="00824657" w:rsidRDefault="00032EEE">
      <w:pPr>
        <w:ind w:left="38" w:right="9"/>
      </w:pPr>
      <w:r>
        <w:t>Rispetto al capoluogo di Regione, tuttavia, in BAT mafie autoctone e limitrofe convivono con significative colonie di criminalità straniera, in particolare albanese, e tassi</w:t>
      </w:r>
      <w:r>
        <w:t xml:space="preserve"> di criminalità predatoria pressoché sconosciuti in larga parte dello Stato. Cui si aggiunge una criminalità di impresa, contro il lavoro, ambientale, contro la p.a. dilagante.</w:t>
      </w:r>
    </w:p>
    <w:p w:rsidR="00824657" w:rsidRDefault="00032EEE">
      <w:pPr>
        <w:ind w:left="38" w:right="9" w:firstLine="528"/>
      </w:pPr>
      <w:r>
        <w:rPr>
          <w:noProof/>
        </w:rPr>
        <w:drawing>
          <wp:inline distT="0" distB="0" distL="0" distR="0">
            <wp:extent cx="515147" cy="109739"/>
            <wp:effectExtent l="0" t="0" r="0" b="0"/>
            <wp:docPr id="26470" name="Picture 2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0" name="Picture 264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147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ciascuno di questi ambiti si aprono orizzonti desolanti: basterebbe dire che</w:t>
      </w:r>
      <w:r>
        <w:t xml:space="preserve"> questo è il territorio purtroppo noto alle Œonache nazionali per alcuni casi pilota di caduti sul lavoro collegati al caporalato e al triste fenomeno delle morti bianche.</w:t>
      </w:r>
    </w:p>
    <w:p w:rsidR="00824657" w:rsidRDefault="00032EEE">
      <w:pPr>
        <w:ind w:left="38" w:right="9"/>
      </w:pPr>
      <w:r>
        <w:t>Basterebbe considerare gli esiü delle indagini su reati ambientali condotte dalla Di</w:t>
      </w:r>
      <w:r>
        <w:t>rezione distrettuale Anümafia di Bari.</w:t>
      </w:r>
    </w:p>
    <w:p w:rsidR="00824657" w:rsidRDefault="00032EEE">
      <w:pPr>
        <w:ind w:left="38" w:right="9"/>
      </w:pPr>
      <w:r>
        <w:t>Come si spiega questa coesistenza di mafie autoctone e limitrofe con una aggressione ai patrimoni così estesa e profonda?</w:t>
      </w:r>
    </w:p>
    <w:p w:rsidR="00824657" w:rsidRDefault="00032EEE">
      <w:pPr>
        <w:ind w:left="38" w:right="9"/>
      </w:pPr>
      <w:r>
        <w:t>Le Mafie che operano nella BAT, in particolare a Trani, Barletta, Andria, Canosa, Bisceglie, po</w:t>
      </w:r>
      <w:r>
        <w:t>rtano alle estreme conseguenze la connotazione lucrativa e levantina delle mafie baresi.</w:t>
      </w:r>
    </w:p>
    <w:p w:rsidR="00824657" w:rsidRDefault="00032EEE">
      <w:pPr>
        <w:ind w:left="38" w:right="9"/>
      </w:pPr>
      <w:r>
        <w:t xml:space="preserve">Sono </w:t>
      </w:r>
      <w:r>
        <w:rPr>
          <w:u w:val="single" w:color="000000"/>
        </w:rPr>
        <w:t>mafie predatorie</w:t>
      </w:r>
      <w:r>
        <w:t>: mafie che non esercitano il dominio sul territorio, ma che lo spogliano, lo depredano, aprendolo persino alle scorrerie di clan storici ed egemo</w:t>
      </w:r>
      <w:r>
        <w:t>ni in altre province e regioni.</w:t>
      </w:r>
    </w:p>
    <w:p w:rsidR="00824657" w:rsidRDefault="00032EEE">
      <w:pPr>
        <w:ind w:left="38" w:right="9"/>
      </w:pPr>
      <w:r>
        <w:t xml:space="preserve">Innumerevoli episodi criminali del passato (anche risalendo a olfre quindici, venti anni fa) testimoniano la presenza nel territorio di calabresi, campani, foggiani, baresi accanto ai criminali canosini, andriesi, tranesi, barlettani, uniti nel commettere </w:t>
      </w:r>
      <w:r>
        <w:t>reati a danno dello stesso territorio. Estendendo l'analisi ai territori del circondario di TrarLi che rientrano nella area metropolitana si giunge alla stessa conclusione: basti pensare a Corato, Terlizzi, Molfetta.</w:t>
      </w:r>
    </w:p>
    <w:p w:rsidR="00824657" w:rsidRDefault="00032EEE">
      <w:pPr>
        <w:ind w:left="38" w:right="9"/>
      </w:pPr>
      <w:r>
        <w:t>Approfondendo molteplici reati predator</w:t>
      </w:r>
      <w:r>
        <w:t>i comrnessi nel territorio si appura il coinvolgimento di soggetti mafiosi, anche provenienti da altri territori.</w:t>
      </w:r>
    </w:p>
    <w:p w:rsidR="00824657" w:rsidRDefault="00032EEE">
      <w:pPr>
        <w:spacing w:after="73"/>
        <w:ind w:left="38" w:right="9"/>
      </w:pPr>
      <w:r>
        <w:t>Verificando le disponibilità economiche illecite da reinvestire emerge la riferibilità a contesti cui più affluiscono i proventi dei reati pre</w:t>
      </w:r>
      <w:r>
        <w:t>datori.</w:t>
      </w:r>
    </w:p>
    <w:p w:rsidR="00824657" w:rsidRDefault="00032EEE">
      <w:pPr>
        <w:spacing w:after="424"/>
        <w:ind w:left="38" w:right="82"/>
      </w:pPr>
      <w:r>
        <w:t>Indicatori molteplici che confermano ciò che sarebbe ovvio in ogni analisi criminologica: un'azione predatoria così sistematica, spavalda, costante non può che avere alle spalle un contesto organizzato strutturato.</w:t>
      </w:r>
    </w:p>
    <w:p w:rsidR="00824657" w:rsidRDefault="00032EEE">
      <w:pPr>
        <w:spacing w:after="99"/>
        <w:ind w:left="38" w:right="86"/>
      </w:pPr>
      <w:r>
        <w:t xml:space="preserve">E' un territorio in cui le mafie </w:t>
      </w:r>
      <w:r>
        <w:t xml:space="preserve">autoctone, dunque, convivono, con formule diverse, con mafie dei territori confinanti: non controllano in termini monopolisüci il territorio ed anzi, non hanno alcuna considerazione del territorio se non come una dimensione da cannibalizzare, da svendere, </w:t>
      </w:r>
      <w:r>
        <w:t>da offrire, lasciando anche che altri imperversino.</w:t>
      </w:r>
    </w:p>
    <w:p w:rsidR="00824657" w:rsidRDefault="00032EEE">
      <w:pPr>
        <w:ind w:left="38" w:right="9"/>
      </w:pPr>
      <w:r>
        <w:t>Ad unirle non sono necessariamente i patti risalenti, le strategie a lungo termine, le alleanze decennali, i valori comuni, ma semplicemente i singoli affari più o meno complessi o duraturi.</w:t>
      </w:r>
    </w:p>
    <w:p w:rsidR="00824657" w:rsidRDefault="00032EEE">
      <w:pPr>
        <w:spacing w:after="57" w:line="270" w:lineRule="auto"/>
        <w:ind w:left="5" w:right="81" w:hanging="10"/>
      </w:pPr>
      <w:r>
        <w:rPr>
          <w:sz w:val="22"/>
        </w:rPr>
        <w:lastRenderedPageBreak/>
        <w:t>Questa polver</w:t>
      </w:r>
      <w:r>
        <w:rPr>
          <w:sz w:val="22"/>
        </w:rPr>
        <w:t>iera era descritta dalla Commissione Parlamentare antimafia come: "pluralità di sodalizi, mancanza di un vertice aggregante e assoluta incapacità di elaborare strategie a lungo termine, di mantenere stabili alleanze o anche perduranti assetti organizzativi</w:t>
      </w:r>
      <w:r>
        <w:rPr>
          <w:sz w:val="22"/>
        </w:rPr>
        <w:t xml:space="preserve"> interni".</w:t>
      </w:r>
    </w:p>
    <w:p w:rsidR="00824657" w:rsidRDefault="00032EEE">
      <w:pPr>
        <w:spacing w:after="63"/>
        <w:ind w:left="38" w:right="101"/>
      </w:pPr>
      <w:r>
        <w:t>Verità che possono creare una apparenza di minore gravità a chi sia abituato a identificare la mafia in un unico paradigma e non sia capace di leggere i fattori di effettiva pericolosità in un fenomeno (le Mafie) ormai molto differenziato nel te</w:t>
      </w:r>
      <w:r>
        <w:t>rritorio nazionale.</w:t>
      </w:r>
    </w:p>
    <w:p w:rsidR="00824657" w:rsidRDefault="00032EEE">
      <w:pPr>
        <w:ind w:left="38" w:right="9"/>
      </w:pPr>
      <w:r>
        <w:t>Queste Mafie esprimono invece una aggressività verso il tessuto economico imprenditoriale e verso i patrimoni dei cittadini del tutto sfraordinaria.</w:t>
      </w:r>
    </w:p>
    <w:p w:rsidR="00824657" w:rsidRDefault="00032EEE">
      <w:pPr>
        <w:ind w:left="38" w:right="96"/>
      </w:pPr>
      <w:r>
        <w:t>Il tessuto economico che ne è vittima, peraltro, è sì particolarmente attivo ma è al te</w:t>
      </w:r>
      <w:r>
        <w:t>mpo stesso fortemente percorso da spinte interne verso comportamenti illegali, spinte che generano un autonomo montante criminale - in tema di reati fallimentari, fributari e societari — decisamente preoccupante e soltanto in parte registrato dalla statist</w:t>
      </w:r>
      <w:r>
        <w:t>ica giudiziaria. E' facile intuire quanto questo fenomeno penalizzi le tante imprese oneste, che finiscono per sopportare costi aggiuntivi, pagati alla criminalità o da un sistema che premia la concorrenza sleale.</w:t>
      </w:r>
    </w:p>
    <w:p w:rsidR="00824657" w:rsidRDefault="00032EEE">
      <w:pPr>
        <w:spacing w:after="52"/>
        <w:ind w:left="38" w:right="96"/>
      </w:pPr>
      <w:r>
        <w:t>Questa speciale propensione diffusa nel te</w:t>
      </w:r>
      <w:r>
        <w:t>ssuto economico costituisce motivo di indebolimento della azione repressiva non soltanto perché ovviamente impegna in modo autonomo gli apparati di accertamento e repressione dei reati ma soprattutto perché rende quello stesso tessuto imprenditoriale più e</w:t>
      </w:r>
      <w:r>
        <w:t xml:space="preserve">sposto, più vulnerabile, più permeabile alla azione delle mafie. </w:t>
      </w:r>
      <w:r>
        <w:rPr>
          <w:noProof/>
        </w:rPr>
        <w:drawing>
          <wp:inline distT="0" distB="0" distL="0" distR="0">
            <wp:extent cx="6097" cy="9145"/>
            <wp:effectExtent l="0" t="0" r="0" b="0"/>
            <wp:docPr id="12026" name="Picture 1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" name="Picture 120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57" w:rsidRDefault="00032EEE">
      <w:pPr>
        <w:spacing w:after="22" w:line="270" w:lineRule="auto"/>
        <w:ind w:left="5" w:right="81" w:hanging="10"/>
      </w:pPr>
      <w:r>
        <w:rPr>
          <w:sz w:val="22"/>
        </w:rPr>
        <w:t>Una Provincia depredata, dunque, in molti sensi.</w:t>
      </w:r>
    </w:p>
    <w:p w:rsidR="00824657" w:rsidRDefault="00032EEE">
      <w:pPr>
        <w:spacing w:after="56"/>
        <w:ind w:left="38" w:right="9"/>
      </w:pPr>
      <w:r>
        <w:t>E ciononostante non è facile rintracciare la BAT nella agenda nazionale del contrasto della criminalità.</w:t>
      </w:r>
    </w:p>
    <w:p w:rsidR="00824657" w:rsidRDefault="00032EEE">
      <w:pPr>
        <w:spacing w:after="48"/>
        <w:ind w:left="38" w:right="96"/>
      </w:pPr>
      <w:r>
        <w:t>Talvolta è inclusa - con grossolana sottovalutazione- quale mera appendice della criminalità barese e di quella foggiana, così da radicare indirettamente il convincimento errato che sia sufficiente intervenire su Bari o Foggia per averne beneficio nel circ</w:t>
      </w:r>
      <w:r>
        <w:t>ondario di Trani.</w:t>
      </w:r>
    </w:p>
    <w:p w:rsidR="00824657" w:rsidRDefault="00032EEE">
      <w:pPr>
        <w:spacing w:after="61"/>
        <w:ind w:left="38" w:right="91"/>
      </w:pPr>
      <w:r>
        <w:t>Eppure anche l'indice di criminalità organizzata (I.O.C.). nella analisi del Ministero dell'interno, è di 40.9 a fronte di una media nazionale di 29.1. di 10C: un dato che la collocherebbe sullo stesso piano della Provincia di Bari che tu</w:t>
      </w:r>
      <w:r>
        <w:t>ttavia non soffre la stessa azione predatoria del circondario di Trani.</w:t>
      </w:r>
    </w:p>
    <w:p w:rsidR="00824657" w:rsidRDefault="00032EEE">
      <w:pPr>
        <w:spacing w:after="369"/>
        <w:ind w:left="38" w:right="91"/>
      </w:pPr>
      <w:r>
        <w:t>Ma il fatto che siano stati aperti finalmente gli occhi sulla gravità della criminalità foggiana non può lasciare che si confinui a sottovalutare i fenomeni della vicina BAT: un territ</w:t>
      </w:r>
      <w:r>
        <w:t>orio confinante non meno devastato dalla criminalità, peraltro anche da quella foggiana.</w:t>
      </w:r>
    </w:p>
    <w:p w:rsidR="00824657" w:rsidRDefault="00032EEE">
      <w:pPr>
        <w:ind w:left="38" w:right="9"/>
      </w:pPr>
      <w:r>
        <w:t>La BAT è riportata nelle mappe della geografia politica come Provincia.</w:t>
      </w:r>
    </w:p>
    <w:p w:rsidR="00824657" w:rsidRDefault="00032EEE">
      <w:pPr>
        <w:spacing w:after="68" w:line="263" w:lineRule="auto"/>
        <w:ind w:left="38" w:right="58" w:firstLine="10"/>
      </w:pPr>
      <w:r>
        <w:rPr>
          <w:sz w:val="26"/>
        </w:rPr>
        <w:t>Ma non è una Provincia: diversamente dalle altre province, non ha ancora una Questura, un Coman</w:t>
      </w:r>
      <w:r>
        <w:rPr>
          <w:sz w:val="26"/>
        </w:rPr>
        <w:t>do Provinciale dei Carabinieri ed un Comando Provinciale della Guardia di Finanza. Rientra nel territorio di Questura e Comandi Provinciali di Bari i quali, con immane sforzo, hanno provato a desünare una parte delle loro risorse anche a questo territorio,</w:t>
      </w:r>
      <w:r>
        <w:rPr>
          <w:sz w:val="26"/>
        </w:rPr>
        <w:t xml:space="preserve"> destinato tuttavia un giorno a non appartenergli più. E lo hanno fatto avendo già una propria realtà certamente complessa e difficile e dovendo, al contempo, offrire supporto al confrasto del crimine nella Provincia di Foggia.</w:t>
      </w:r>
    </w:p>
    <w:p w:rsidR="00824657" w:rsidRDefault="00032EEE">
      <w:pPr>
        <w:spacing w:after="54"/>
        <w:ind w:left="38" w:right="9"/>
      </w:pPr>
      <w:r>
        <w:t>La BAT è paradossalmente, al</w:t>
      </w:r>
      <w:r>
        <w:t>lora, una Provincia finora depredata anche delle sue proprie, esclusive istituzioni provinciali di contrasto alla criminalità.</w:t>
      </w:r>
    </w:p>
    <w:p w:rsidR="00824657" w:rsidRDefault="00032EEE">
      <w:pPr>
        <w:spacing w:after="68"/>
        <w:ind w:left="38" w:right="9"/>
      </w:pPr>
      <w:r>
        <w:t>Priva delle istituzioni che, vivendo direttamente questo territorio, avrebbero potuto e dovuto far riportare questa emergenza nel</w:t>
      </w:r>
      <w:r>
        <w:t>la Agenda nazionale.</w:t>
      </w:r>
    </w:p>
    <w:p w:rsidR="00824657" w:rsidRDefault="00032EEE">
      <w:pPr>
        <w:spacing w:after="59"/>
        <w:ind w:left="38" w:right="82"/>
      </w:pPr>
      <w:r>
        <w:t>Unica voce esclusivamente della BAT a non dover occuparsi anche di altri territori ed altre situazioni criminali è stata la Prefettura di Barletta, particolarmente sensibile al contrasto di questo fenomeno.</w:t>
      </w:r>
    </w:p>
    <w:p w:rsidR="00824657" w:rsidRDefault="00032EEE">
      <w:pPr>
        <w:spacing w:after="53"/>
        <w:ind w:left="38" w:right="82"/>
      </w:pPr>
      <w:r>
        <w:t>In questa cornice, è doveros</w:t>
      </w:r>
      <w:r>
        <w:t>o ammettere anche il vulnus all'autorevolezza dell'Autorità Giurisdizionale cagionato dagli scandali che, con eco mediatica nazionale, hanno riguardato una parte della magistratura locale. Questa eco comprensibilmente ha indebolito la difficilissima azione</w:t>
      </w:r>
      <w:r>
        <w:t xml:space="preserve"> della </w:t>
      </w:r>
      <w:r>
        <w:lastRenderedPageBreak/>
        <w:t>prevalente restante parte della magistratura, il cui impegno risulta così ancora più difficile, scomodo, in perenne debito di ossigeno, dell'ossigeno della credibilità.</w:t>
      </w:r>
    </w:p>
    <w:p w:rsidR="00824657" w:rsidRDefault="00032EEE">
      <w:pPr>
        <w:ind w:left="38" w:right="82"/>
      </w:pPr>
      <w:r>
        <w:t>I servizi di polizia giudiziaria del territorio, peraltro, soffrono di una infri</w:t>
      </w:r>
      <w:r>
        <w:t>nseca debolezza derivante dalla insufficienza delle risorse di cui dispongono rispetto alla realtà criminale da fronteggiare.</w:t>
      </w:r>
    </w:p>
    <w:p w:rsidR="00824657" w:rsidRDefault="00032EEE">
      <w:pPr>
        <w:spacing w:after="56"/>
        <w:ind w:left="38" w:right="82"/>
      </w:pPr>
      <w:r>
        <w:t>Questa debolezza delle istituzioni non passa inosservata, ma è percepita dalla criminalità, da quella organizzata a quella di vici</w:t>
      </w:r>
      <w:r>
        <w:t>nato. Ci si riferisce al preoccupante livello di aggressione verso le istituzioni, un livello di scontro, se non di attacco molto aspro.</w:t>
      </w:r>
    </w:p>
    <w:p w:rsidR="00824657" w:rsidRDefault="00032EEE">
      <w:pPr>
        <w:ind w:left="38" w:right="77"/>
      </w:pPr>
      <w:r>
        <w:t>Sono noti alle cronache i numerosi episodi di "attentati" anche mediante ordigni esplosivi contro obiettivi delle Forze</w:t>
      </w:r>
      <w:r>
        <w:t xml:space="preserve"> dell'Ordine, che hanno riguardato in tempi e luoghi diversi del circondario esponenti e strutture dell'Arma dei Carabinieri, della Polizia di Stato, della Guardia di Finanza e, in generale, rappresentanti delle Isütuzioni.</w:t>
      </w:r>
    </w:p>
    <w:p w:rsidR="00824657" w:rsidRDefault="00032EEE">
      <w:pPr>
        <w:ind w:left="38" w:right="9"/>
      </w:pPr>
      <w:r>
        <w:t>Perché un individuo considera plausibile una iniziativa così clamorosa che pure dovrebbe esporlo a prevedibili reazioni dello Stato?</w:t>
      </w:r>
    </w:p>
    <w:p w:rsidR="00824657" w:rsidRDefault="00032EEE">
      <w:pPr>
        <w:ind w:left="38" w:right="9"/>
      </w:pPr>
      <w:r>
        <w:t>L'amara spiegazione sta nella scarsa considerazione della capacità di reazione delle istituzioni che alimenta un diffuso se</w:t>
      </w:r>
      <w:r>
        <w:t>nso di impunità.</w:t>
      </w:r>
    </w:p>
    <w:p w:rsidR="00824657" w:rsidRDefault="00032EEE">
      <w:pPr>
        <w:spacing w:after="677"/>
        <w:ind w:left="38" w:righ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4130324</wp:posOffset>
            </wp:positionH>
            <wp:positionV relativeFrom="paragraph">
              <wp:posOffset>253597</wp:posOffset>
            </wp:positionV>
            <wp:extent cx="1935613" cy="691963"/>
            <wp:effectExtent l="0" t="0" r="0" b="0"/>
            <wp:wrapSquare wrapText="bothSides"/>
            <wp:docPr id="26472" name="Picture 26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2" name="Picture 264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5613" cy="691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Ciascuno di questi episodi a sua volta, poi, produce un impatto devastante sulla fiducia nelle Istituzioni e finisce per incentivare e moltiplicare comportamenti analoghi.</w:t>
      </w:r>
    </w:p>
    <w:p w:rsidR="00824657" w:rsidRDefault="00032EEE">
      <w:pPr>
        <w:ind w:left="1479" w:right="197"/>
      </w:pPr>
      <w:r>
        <w:t>Trani, 16/04/2021</w:t>
      </w:r>
    </w:p>
    <w:p w:rsidR="00824657" w:rsidRDefault="00032EEE">
      <w:pPr>
        <w:spacing w:after="0" w:line="259" w:lineRule="auto"/>
        <w:ind w:left="0" w:right="466"/>
        <w:jc w:val="right"/>
      </w:pPr>
      <w:r>
        <w:t>Procuratore della Repubblica</w:t>
      </w:r>
    </w:p>
    <w:sectPr w:rsidR="00824657">
      <w:headerReference w:type="even" r:id="rId17"/>
      <w:headerReference w:type="default" r:id="rId18"/>
      <w:headerReference w:type="first" r:id="rId19"/>
      <w:footnotePr>
        <w:numRestart w:val="eachPage"/>
      </w:footnotePr>
      <w:pgSz w:w="11660" w:h="16480"/>
      <w:pgMar w:top="1320" w:right="984" w:bottom="1043" w:left="926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32EEE">
      <w:pPr>
        <w:spacing w:after="0" w:line="240" w:lineRule="auto"/>
      </w:pPr>
      <w:r>
        <w:separator/>
      </w:r>
    </w:p>
  </w:endnote>
  <w:endnote w:type="continuationSeparator" w:id="0">
    <w:p w:rsidR="00000000" w:rsidRDefault="000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657" w:rsidRDefault="00032EEE">
      <w:pPr>
        <w:spacing w:after="0" w:line="249" w:lineRule="auto"/>
        <w:ind w:left="101" w:right="10" w:hanging="5"/>
      </w:pPr>
      <w:r>
        <w:separator/>
      </w:r>
    </w:p>
  </w:footnote>
  <w:footnote w:type="continuationSeparator" w:id="0">
    <w:p w:rsidR="00824657" w:rsidRDefault="00032EEE">
      <w:pPr>
        <w:spacing w:after="0" w:line="249" w:lineRule="auto"/>
        <w:ind w:left="101" w:right="10" w:hanging="5"/>
      </w:pPr>
      <w:r>
        <w:continuationSeparator/>
      </w:r>
    </w:p>
  </w:footnote>
  <w:footnote w:id="1">
    <w:p w:rsidR="00824657" w:rsidRDefault="00032EEE">
      <w:pPr>
        <w:pStyle w:val="footnotedescription"/>
        <w:spacing w:line="249" w:lineRule="auto"/>
        <w:ind w:left="101" w:hanging="5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Analisi </w:t>
      </w:r>
      <w:r>
        <w:t xml:space="preserve">di Italia Oggi </w:t>
      </w:r>
      <w:r>
        <w:rPr>
          <w:sz w:val="10"/>
        </w:rPr>
        <w:t xml:space="preserve">— </w:t>
      </w:r>
      <w:r>
        <w:t xml:space="preserve">Università </w:t>
      </w:r>
      <w:r>
        <w:rPr>
          <w:sz w:val="20"/>
        </w:rPr>
        <w:t xml:space="preserve">La </w:t>
      </w:r>
      <w:r>
        <w:t xml:space="preserve">Sapienza, compendiati nella </w:t>
      </w:r>
      <w:r>
        <w:rPr>
          <w:sz w:val="20"/>
        </w:rPr>
        <w:t xml:space="preserve">22ma classifica </w:t>
      </w:r>
      <w:r>
        <w:t xml:space="preserve">di </w:t>
      </w:r>
      <w:r>
        <w:rPr>
          <w:sz w:val="20"/>
        </w:rPr>
        <w:t xml:space="preserve">ItaliaOggi, la </w:t>
      </w:r>
      <w:r>
        <w:t xml:space="preserve">più </w:t>
      </w:r>
      <w:r>
        <w:rPr>
          <w:sz w:val="20"/>
        </w:rPr>
        <w:t xml:space="preserve">completa indagine sulla </w:t>
      </w:r>
      <w:r>
        <w:t xml:space="preserve">Qualità </w:t>
      </w:r>
      <w:r>
        <w:rPr>
          <w:sz w:val="20"/>
        </w:rPr>
        <w:t xml:space="preserve">della vita 2020 in </w:t>
      </w:r>
      <w:r>
        <w:t xml:space="preserve">Italia (pubblicata </w:t>
      </w:r>
      <w:r>
        <w:rPr>
          <w:sz w:val="20"/>
        </w:rPr>
        <w:t xml:space="preserve">il 30.11.2020). La BAT </w:t>
      </w:r>
      <w:r>
        <w:t xml:space="preserve">si colloca anche </w:t>
      </w:r>
      <w:r>
        <w:rPr>
          <w:sz w:val="24"/>
        </w:rPr>
        <w:t xml:space="preserve">in </w:t>
      </w:r>
      <w:r>
        <w:t xml:space="preserve">questo caso al novantottesimo posto </w:t>
      </w:r>
      <w:r>
        <w:rPr>
          <w:sz w:val="24"/>
        </w:rPr>
        <w:t xml:space="preserve">su </w:t>
      </w:r>
      <w:r>
        <w:t xml:space="preserve">107 Province italiane e, </w:t>
      </w:r>
      <w:r>
        <w:rPr>
          <w:sz w:val="24"/>
        </w:rPr>
        <w:t xml:space="preserve">dunque, </w:t>
      </w:r>
      <w:r>
        <w:t xml:space="preserve">invertendo idealmente la graduatoria, rientra </w:t>
      </w:r>
      <w:r>
        <w:rPr>
          <w:sz w:val="24"/>
        </w:rPr>
        <w:t xml:space="preserve">tra le prime </w:t>
      </w:r>
      <w:r>
        <w:t xml:space="preserve">dieci (su </w:t>
      </w:r>
      <w:r>
        <w:rPr>
          <w:sz w:val="20"/>
        </w:rPr>
        <w:t xml:space="preserve">107) </w:t>
      </w:r>
      <w:r>
        <w:rPr>
          <w:sz w:val="24"/>
        </w:rPr>
        <w:t xml:space="preserve">per </w:t>
      </w:r>
      <w:r>
        <w:rPr>
          <w:sz w:val="20"/>
        </w:rPr>
        <w:t xml:space="preserve">la </w:t>
      </w:r>
      <w:r>
        <w:t>peggiore qualità della</w:t>
      </w:r>
      <w:r>
        <w:t xml:space="preserve"> vita.</w:t>
      </w:r>
    </w:p>
  </w:footnote>
  <w:footnote w:id="2">
    <w:p w:rsidR="00824657" w:rsidRDefault="00032EEE">
      <w:pPr>
        <w:pStyle w:val="footnotedescription"/>
        <w:spacing w:line="229" w:lineRule="auto"/>
        <w:ind w:firstLine="5"/>
      </w:pPr>
      <w:r>
        <w:rPr>
          <w:rStyle w:val="footnotemark"/>
        </w:rPr>
        <w:footnoteRef/>
      </w:r>
      <w:r>
        <w:t xml:space="preserve"> In data </w:t>
      </w:r>
      <w:r>
        <w:rPr>
          <w:u w:val="single" w:color="000000"/>
        </w:rPr>
        <w:t xml:space="preserve">15 Dicembre </w:t>
      </w:r>
      <w:r>
        <w:rPr>
          <w:sz w:val="20"/>
          <w:u w:val="single" w:color="000000"/>
        </w:rPr>
        <w:t xml:space="preserve">2020 </w:t>
      </w:r>
      <w:r>
        <w:t xml:space="preserve">1'Eurispes ha resi noti </w:t>
      </w:r>
      <w:r>
        <w:rPr>
          <w:sz w:val="24"/>
        </w:rPr>
        <w:t xml:space="preserve">i </w:t>
      </w:r>
      <w:r>
        <w:t xml:space="preserve">"risultati dell'indice </w:t>
      </w:r>
      <w:r>
        <w:rPr>
          <w:sz w:val="24"/>
        </w:rPr>
        <w:t xml:space="preserve">di </w:t>
      </w:r>
      <w:r>
        <w:t xml:space="preserve">Pen-neabilità dei territori alla Criminalità Organizzata (IPCO)", indice realizzato nel </w:t>
      </w:r>
      <w:r>
        <w:rPr>
          <w:sz w:val="24"/>
        </w:rPr>
        <w:t xml:space="preserve">quadro </w:t>
      </w:r>
      <w:r>
        <w:t xml:space="preserve">del Protocollo </w:t>
      </w:r>
      <w:r>
        <w:rPr>
          <w:sz w:val="24"/>
        </w:rPr>
        <w:t xml:space="preserve">d'intesa tra </w:t>
      </w:r>
      <w:r>
        <w:t xml:space="preserve">la Direzione Nazionale Antimafia </w:t>
      </w:r>
      <w:r>
        <w:rPr>
          <w:sz w:val="24"/>
        </w:rPr>
        <w:t xml:space="preserve">e </w:t>
      </w:r>
      <w:r>
        <w:t>Antiterroris</w:t>
      </w:r>
      <w:r>
        <w:t xml:space="preserve">mo </w:t>
      </w:r>
      <w:r>
        <w:rPr>
          <w:sz w:val="26"/>
        </w:rPr>
        <w:t xml:space="preserve">e </w:t>
      </w:r>
      <w:r>
        <w:t xml:space="preserve">l'Eurispes ed in grado </w:t>
      </w:r>
      <w:r>
        <w:rPr>
          <w:sz w:val="24"/>
        </w:rPr>
        <w:t xml:space="preserve">di misurare due </w:t>
      </w:r>
      <w:r>
        <w:t xml:space="preserve">fenomeni, distinti ma strettamente connessi, vulnerabilità </w:t>
      </w:r>
      <w:r>
        <w:rPr>
          <w:sz w:val="26"/>
        </w:rPr>
        <w:t xml:space="preserve">e </w:t>
      </w:r>
      <w:r>
        <w:t>appetibilità dei territori.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657" w:rsidRDefault="00032EEE">
    <w:pPr>
      <w:spacing w:after="0" w:line="259" w:lineRule="auto"/>
      <w:ind w:left="0" w:right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657" w:rsidRDefault="00032EEE">
    <w:pPr>
      <w:spacing w:after="0" w:line="259" w:lineRule="auto"/>
      <w:ind w:left="0" w:right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657" w:rsidRDefault="00032EEE">
    <w:pPr>
      <w:spacing w:after="0" w:line="259" w:lineRule="auto"/>
      <w:ind w:left="0" w:right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2866"/>
    <w:multiLevelType w:val="hybridMultilevel"/>
    <w:tmpl w:val="FFFFFFFF"/>
    <w:lvl w:ilvl="0" w:tplc="F6C81936">
      <w:start w:val="1"/>
      <w:numFmt w:val="lowerLetter"/>
      <w:lvlText w:val="%1.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C6420">
      <w:start w:val="1"/>
      <w:numFmt w:val="lowerLetter"/>
      <w:lvlText w:val="%2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C618C">
      <w:start w:val="1"/>
      <w:numFmt w:val="lowerRoman"/>
      <w:lvlText w:val="%3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6BC98">
      <w:start w:val="1"/>
      <w:numFmt w:val="decimal"/>
      <w:lvlText w:val="%4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0616">
      <w:start w:val="1"/>
      <w:numFmt w:val="lowerLetter"/>
      <w:lvlText w:val="%5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8B4BC">
      <w:start w:val="1"/>
      <w:numFmt w:val="lowerRoman"/>
      <w:lvlText w:val="%6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C77A2">
      <w:start w:val="1"/>
      <w:numFmt w:val="decimal"/>
      <w:lvlText w:val="%7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85E7A">
      <w:start w:val="1"/>
      <w:numFmt w:val="lowerLetter"/>
      <w:lvlText w:val="%8"/>
      <w:lvlJc w:val="left"/>
      <w:pPr>
        <w:ind w:left="7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4A094">
      <w:start w:val="1"/>
      <w:numFmt w:val="lowerRoman"/>
      <w:lvlText w:val="%9"/>
      <w:lvlJc w:val="left"/>
      <w:pPr>
        <w:ind w:left="8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7"/>
    <w:rsid w:val="00032EEE"/>
    <w:rsid w:val="008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B5C9B0-4908-7E46-A7F7-BDE169B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5" w:line="248" w:lineRule="auto"/>
      <w:ind w:left="1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39" w:lineRule="auto"/>
      <w:ind w:left="96" w:right="10" w:firstLine="2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7.jp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g" /><Relationship Id="rId12" Type="http://schemas.openxmlformats.org/officeDocument/2006/relationships/image" Target="media/image6.jp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10.jp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5" Type="http://schemas.openxmlformats.org/officeDocument/2006/relationships/footnotes" Target="footnotes.xml" /><Relationship Id="rId15" Type="http://schemas.openxmlformats.org/officeDocument/2006/relationships/image" Target="media/image9.jpg" /><Relationship Id="rId10" Type="http://schemas.openxmlformats.org/officeDocument/2006/relationships/image" Target="media/image4.jp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image" Target="media/image8.jp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fortis trani</cp:lastModifiedBy>
  <cp:revision>2</cp:revision>
  <dcterms:created xsi:type="dcterms:W3CDTF">2021-04-20T22:43:00Z</dcterms:created>
  <dcterms:modified xsi:type="dcterms:W3CDTF">2021-04-20T22:43:00Z</dcterms:modified>
</cp:coreProperties>
</file>